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E8" w:rsidRDefault="002710E8" w:rsidP="002710E8">
      <w:pPr>
        <w:pStyle w:val="Heading1"/>
        <w:jc w:val="center"/>
      </w:pPr>
      <w:r>
        <w:t>Tualatin Planning Commission</w:t>
      </w:r>
    </w:p>
    <w:p w:rsidR="002710E8" w:rsidRDefault="002710E8" w:rsidP="002710E8">
      <w:pPr>
        <w:widowControl/>
        <w:pBdr>
          <w:bottom w:val="single" w:sz="6" w:space="2" w:color="000000"/>
        </w:pBdr>
        <w:tabs>
          <w:tab w:val="left" w:pos="720"/>
        </w:tabs>
        <w:jc w:val="center"/>
        <w:rPr>
          <w:rFonts w:ascii="Calibri" w:eastAsia="Calibri" w:hAnsi="Calibri" w:cs="Calibri"/>
          <w:b/>
        </w:rPr>
      </w:pPr>
    </w:p>
    <w:p w:rsidR="002710E8" w:rsidRDefault="00382674" w:rsidP="002710E8">
      <w:pPr>
        <w:widowControl/>
        <w:pBdr>
          <w:bottom w:val="single" w:sz="6" w:space="2" w:color="000000"/>
        </w:pBdr>
        <w:tabs>
          <w:tab w:val="left" w:pos="72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MINUTES OF May 19</w:t>
      </w:r>
      <w:bookmarkStart w:id="0" w:name="_GoBack"/>
      <w:bookmarkEnd w:id="0"/>
      <w:r w:rsidR="002710E8">
        <w:rPr>
          <w:rFonts w:ascii="Calibri" w:eastAsia="Calibri" w:hAnsi="Calibri" w:cs="Calibri"/>
          <w:b/>
        </w:rPr>
        <w:t>, 2022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10E8" w:rsidTr="00401B62"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TPC MEMBERS PRESENT:</w:t>
            </w:r>
          </w:p>
        </w:tc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STAFF PRESENT:</w:t>
            </w:r>
          </w:p>
        </w:tc>
      </w:tr>
      <w:tr w:rsidR="002710E8" w:rsidTr="00401B62">
        <w:tc>
          <w:tcPr>
            <w:tcW w:w="4675" w:type="dxa"/>
            <w:hideMark/>
          </w:tcPr>
          <w:p w:rsidR="002710E8" w:rsidRPr="00370D32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  <w:r w:rsidRPr="00370D32">
              <w:rPr>
                <w:rFonts w:asciiTheme="minorHAnsi" w:hAnsiTheme="minorHAnsi" w:cstheme="minorHAnsi"/>
                <w:bCs/>
              </w:rPr>
              <w:t>William Beers, Chair</w:t>
            </w:r>
          </w:p>
        </w:tc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Steve Koper</w:t>
            </w:r>
          </w:p>
        </w:tc>
      </w:tr>
      <w:tr w:rsidR="002710E8" w:rsidTr="00401B62">
        <w:tc>
          <w:tcPr>
            <w:tcW w:w="4675" w:type="dxa"/>
            <w:hideMark/>
          </w:tcPr>
          <w:p w:rsidR="002710E8" w:rsidRPr="00370D32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  <w:r w:rsidRPr="00370D32">
              <w:rPr>
                <w:rFonts w:asciiTheme="minorHAnsi" w:hAnsiTheme="minorHAnsi" w:cstheme="minorHAnsi"/>
                <w:bCs/>
              </w:rPr>
              <w:t>Janelle Thompson, Commissioner</w:t>
            </w:r>
          </w:p>
        </w:tc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Lindsey Hagerman</w:t>
            </w:r>
          </w:p>
        </w:tc>
      </w:tr>
      <w:tr w:rsidR="002710E8" w:rsidTr="00401B62">
        <w:tc>
          <w:tcPr>
            <w:tcW w:w="4675" w:type="dxa"/>
            <w:hideMark/>
          </w:tcPr>
          <w:p w:rsidR="002710E8" w:rsidRPr="00370D32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</w:p>
        </w:tc>
      </w:tr>
      <w:tr w:rsidR="002710E8" w:rsidTr="00401B62">
        <w:tc>
          <w:tcPr>
            <w:tcW w:w="4675" w:type="dxa"/>
            <w:hideMark/>
          </w:tcPr>
          <w:p w:rsidR="002710E8" w:rsidRPr="00370D32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  <w:r w:rsidRPr="00370D32">
              <w:rPr>
                <w:rFonts w:asciiTheme="minorHAnsi" w:hAnsiTheme="minorHAnsi" w:cstheme="minorHAnsi"/>
                <w:bCs/>
              </w:rPr>
              <w:t xml:space="preserve">Zach Wimer, Commissioner </w:t>
            </w:r>
          </w:p>
        </w:tc>
        <w:tc>
          <w:tcPr>
            <w:tcW w:w="4675" w:type="dxa"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710E8" w:rsidTr="00401B62">
        <w:tc>
          <w:tcPr>
            <w:tcW w:w="4675" w:type="dxa"/>
            <w:hideMark/>
          </w:tcPr>
          <w:p w:rsidR="002710E8" w:rsidRPr="00370D32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  <w:r w:rsidRPr="00370D32">
              <w:rPr>
                <w:rFonts w:asciiTheme="minorHAnsi" w:hAnsiTheme="minorHAnsi" w:cstheme="minorHAnsi"/>
                <w:bCs/>
              </w:rPr>
              <w:t xml:space="preserve">Randall Hledik, Commissioner  </w:t>
            </w:r>
          </w:p>
        </w:tc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GUESTS: </w:t>
            </w:r>
            <w:r w:rsidRPr="00532CE0">
              <w:rPr>
                <w:rFonts w:asciiTheme="minorHAnsi" w:hAnsiTheme="minorHAnsi" w:cstheme="minorHAnsi"/>
                <w:bCs/>
              </w:rPr>
              <w:t>None</w:t>
            </w:r>
          </w:p>
        </w:tc>
      </w:tr>
      <w:tr w:rsidR="002710E8" w:rsidTr="00401B62">
        <w:tc>
          <w:tcPr>
            <w:tcW w:w="4675" w:type="dxa"/>
          </w:tcPr>
          <w:p w:rsidR="002710E8" w:rsidRPr="00370D32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370D32">
              <w:rPr>
                <w:rFonts w:asciiTheme="minorHAnsi" w:hAnsiTheme="minorHAnsi" w:cstheme="minorHAnsi"/>
                <w:bCs/>
              </w:rPr>
              <w:t>Daniel Bachhuber, Commissioner</w:t>
            </w:r>
          </w:p>
        </w:tc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</w:p>
        </w:tc>
      </w:tr>
      <w:tr w:rsidR="002710E8" w:rsidTr="00401B62">
        <w:tc>
          <w:tcPr>
            <w:tcW w:w="4675" w:type="dxa"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</w:p>
        </w:tc>
      </w:tr>
      <w:tr w:rsidR="002710E8" w:rsidTr="00401B62"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TPC MEMBERS ABSENT: </w:t>
            </w:r>
          </w:p>
        </w:tc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</w:p>
        </w:tc>
      </w:tr>
      <w:tr w:rsidR="002710E8" w:rsidTr="00401B62"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</w:p>
        </w:tc>
      </w:tr>
      <w:tr w:rsidR="002710E8" w:rsidTr="00401B62">
        <w:tc>
          <w:tcPr>
            <w:tcW w:w="4675" w:type="dxa"/>
          </w:tcPr>
          <w:p w:rsidR="002710E8" w:rsidRDefault="00D700CF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370D32">
              <w:rPr>
                <w:rFonts w:asciiTheme="minorHAnsi" w:hAnsiTheme="minorHAnsi" w:cstheme="minorHAnsi"/>
                <w:bCs/>
              </w:rPr>
              <w:t>Ursula Kuhn, Commissioner</w:t>
            </w:r>
          </w:p>
        </w:tc>
        <w:tc>
          <w:tcPr>
            <w:tcW w:w="4675" w:type="dxa"/>
            <w:hideMark/>
          </w:tcPr>
          <w:p w:rsidR="002710E8" w:rsidRDefault="002710E8" w:rsidP="00E84BD8">
            <w:pPr>
              <w:widowControl/>
              <w:tabs>
                <w:tab w:val="left" w:pos="720"/>
              </w:tabs>
              <w:suppressAutoHyphens/>
              <w:rPr>
                <w:rFonts w:asciiTheme="minorHAnsi" w:hAnsiTheme="minorHAnsi" w:cstheme="minorHAnsi"/>
                <w:bCs/>
              </w:rPr>
            </w:pPr>
          </w:p>
        </w:tc>
      </w:tr>
    </w:tbl>
    <w:p w:rsidR="002710E8" w:rsidRDefault="002710E8" w:rsidP="002710E8">
      <w:pPr>
        <w:widowControl/>
        <w:pBdr>
          <w:bottom w:val="single" w:sz="6" w:space="0" w:color="000000"/>
        </w:pBdr>
        <w:tabs>
          <w:tab w:val="left" w:pos="720"/>
        </w:tabs>
        <w:jc w:val="center"/>
        <w:rPr>
          <w:rFonts w:ascii="Calibri" w:eastAsia="Calibri" w:hAnsi="Calibri" w:cs="Calibri"/>
          <w:b/>
        </w:rPr>
      </w:pPr>
    </w:p>
    <w:p w:rsidR="002710E8" w:rsidRDefault="002710E8" w:rsidP="002710E8">
      <w:pPr>
        <w:widowControl/>
        <w:pBdr>
          <w:bottom w:val="single" w:sz="6" w:space="0" w:color="000000"/>
        </w:pBdr>
        <w:tabs>
          <w:tab w:val="left" w:pos="720"/>
        </w:tabs>
        <w:jc w:val="center"/>
        <w:rPr>
          <w:rFonts w:ascii="Calibri" w:eastAsia="Calibri" w:hAnsi="Calibri" w:cs="Calibri"/>
          <w:b/>
        </w:rPr>
      </w:pPr>
    </w:p>
    <w:p w:rsidR="002710E8" w:rsidRDefault="002710E8" w:rsidP="002710E8">
      <w:pPr>
        <w:ind w:left="504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2710E8" w:rsidRDefault="002710E8" w:rsidP="002710E8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CALL TO ORDER AND ROLL CALL:</w:t>
      </w:r>
    </w:p>
    <w:p w:rsidR="002710E8" w:rsidRDefault="00301219" w:rsidP="002710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meeting was called to order at 6:30 p.m. and roll call was taken. </w:t>
      </w:r>
    </w:p>
    <w:p w:rsidR="002710E8" w:rsidRDefault="002710E8" w:rsidP="002710E8">
      <w:pPr>
        <w:rPr>
          <w:rFonts w:ascii="Calibri" w:eastAsia="Calibri" w:hAnsi="Calibri" w:cs="Calibri"/>
        </w:rPr>
      </w:pPr>
    </w:p>
    <w:p w:rsidR="002710E8" w:rsidRDefault="002710E8" w:rsidP="002710E8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APPROVAL OF MINUTES</w:t>
      </w:r>
    </w:p>
    <w:p w:rsidR="00301219" w:rsidRDefault="002710E8" w:rsidP="002710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of</w:t>
      </w:r>
      <w:r w:rsidR="00301219">
        <w:rPr>
          <w:rFonts w:ascii="Calibri" w:eastAsia="Calibri" w:hAnsi="Calibri" w:cs="Calibri"/>
        </w:rPr>
        <w:t xml:space="preserve"> November 8, 2021</w:t>
      </w:r>
      <w:r w:rsidR="00010F41">
        <w:rPr>
          <w:rFonts w:ascii="Calibri" w:eastAsia="Calibri" w:hAnsi="Calibri" w:cs="Calibri"/>
        </w:rPr>
        <w:t>,</w:t>
      </w:r>
      <w:r w:rsidR="00301219">
        <w:rPr>
          <w:rFonts w:ascii="Calibri" w:eastAsia="Calibri" w:hAnsi="Calibri" w:cs="Calibri"/>
        </w:rPr>
        <w:t xml:space="preserve"> and December 2, 2</w:t>
      </w:r>
      <w:r w:rsidR="0075314E">
        <w:rPr>
          <w:rFonts w:ascii="Calibri" w:eastAsia="Calibri" w:hAnsi="Calibri" w:cs="Calibri"/>
        </w:rPr>
        <w:t>0</w:t>
      </w:r>
      <w:r w:rsidR="00301219"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</w:rPr>
        <w:t xml:space="preserve"> minutes were</w:t>
      </w:r>
      <w:r w:rsidR="00301219">
        <w:rPr>
          <w:rFonts w:ascii="Calibri" w:eastAsia="Calibri" w:hAnsi="Calibri" w:cs="Calibri"/>
        </w:rPr>
        <w:t xml:space="preserve"> </w:t>
      </w:r>
      <w:r w:rsidR="00E74C89">
        <w:rPr>
          <w:rFonts w:ascii="Calibri" w:eastAsia="Calibri" w:hAnsi="Calibri" w:cs="Calibri"/>
        </w:rPr>
        <w:t xml:space="preserve">approved </w:t>
      </w:r>
      <w:r w:rsidR="00301219">
        <w:rPr>
          <w:rFonts w:ascii="Calibri" w:eastAsia="Calibri" w:hAnsi="Calibri" w:cs="Calibri"/>
        </w:rPr>
        <w:t>by Chair Beers and seconded by Commissioner Thompson</w:t>
      </w:r>
      <w:r>
        <w:rPr>
          <w:rFonts w:ascii="Calibri" w:eastAsia="Calibri" w:hAnsi="Calibri" w:cs="Calibri"/>
        </w:rPr>
        <w:t xml:space="preserve">. </w:t>
      </w:r>
      <w:r w:rsidR="004716AF">
        <w:rPr>
          <w:rFonts w:ascii="Calibri" w:eastAsia="Calibri" w:hAnsi="Calibri" w:cs="Calibri"/>
        </w:rPr>
        <w:t xml:space="preserve">Commissioners approved </w:t>
      </w:r>
      <w:r w:rsidR="00301219">
        <w:rPr>
          <w:rFonts w:ascii="Calibri" w:eastAsia="Calibri" w:hAnsi="Calibri" w:cs="Calibri"/>
        </w:rPr>
        <w:t>6-0</w:t>
      </w:r>
      <w:r w:rsidR="004716AF">
        <w:rPr>
          <w:rFonts w:ascii="Calibri" w:eastAsia="Calibri" w:hAnsi="Calibri" w:cs="Calibri"/>
        </w:rPr>
        <w:t>.</w:t>
      </w:r>
    </w:p>
    <w:p w:rsidR="002710E8" w:rsidRDefault="002710E8" w:rsidP="002710E8">
      <w:pPr>
        <w:rPr>
          <w:rFonts w:ascii="Calibri" w:eastAsia="Calibri" w:hAnsi="Calibri" w:cs="Calibri"/>
        </w:rPr>
      </w:pPr>
    </w:p>
    <w:p w:rsidR="002710E8" w:rsidRDefault="002710E8" w:rsidP="002710E8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COMMUNICATION FROM STAFF: </w:t>
      </w:r>
    </w:p>
    <w:p w:rsidR="00301219" w:rsidRPr="00301219" w:rsidRDefault="002710E8" w:rsidP="00330274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</w:rPr>
      </w:pPr>
      <w:r w:rsidRPr="00301219">
        <w:rPr>
          <w:rFonts w:asciiTheme="minorHAnsi" w:hAnsiTheme="minorHAnsi" w:cstheme="minorHAnsi"/>
          <w:b/>
          <w:color w:val="000000"/>
        </w:rPr>
        <w:t>Presen</w:t>
      </w:r>
      <w:r w:rsidR="00301219" w:rsidRPr="00301219">
        <w:rPr>
          <w:rFonts w:asciiTheme="minorHAnsi" w:hAnsiTheme="minorHAnsi" w:cstheme="minorHAnsi"/>
          <w:b/>
          <w:color w:val="000000"/>
        </w:rPr>
        <w:t>tation On The Core Opportunity and Reinvestment Area</w:t>
      </w:r>
      <w:r w:rsidRPr="00301219">
        <w:rPr>
          <w:rFonts w:asciiTheme="minorHAnsi" w:hAnsiTheme="minorHAnsi" w:cstheme="minorHAnsi"/>
          <w:b/>
          <w:color w:val="000000"/>
        </w:rPr>
        <w:t xml:space="preserve"> </w:t>
      </w:r>
      <w:r w:rsidR="004716AF">
        <w:rPr>
          <w:rFonts w:asciiTheme="minorHAnsi" w:hAnsiTheme="minorHAnsi" w:cstheme="minorHAnsi"/>
          <w:b/>
          <w:color w:val="000000"/>
        </w:rPr>
        <w:t>(CORA)</w:t>
      </w:r>
    </w:p>
    <w:p w:rsidR="007E46C9" w:rsidRDefault="007E46C9" w:rsidP="00301219">
      <w:pPr>
        <w:rPr>
          <w:rFonts w:asciiTheme="minorHAnsi" w:eastAsia="Calibri" w:hAnsiTheme="minorHAnsi" w:cstheme="minorHAnsi"/>
        </w:rPr>
      </w:pPr>
    </w:p>
    <w:p w:rsidR="00301219" w:rsidRDefault="00301219" w:rsidP="00301219">
      <w:pPr>
        <w:rPr>
          <w:rFonts w:asciiTheme="minorHAnsi" w:hAnsiTheme="minorHAnsi" w:cstheme="minorHAnsi"/>
        </w:rPr>
      </w:pPr>
      <w:r w:rsidRPr="00301219">
        <w:rPr>
          <w:rFonts w:asciiTheme="minorHAnsi" w:eastAsia="Calibri" w:hAnsiTheme="minorHAnsi" w:cstheme="minorHAnsi"/>
        </w:rPr>
        <w:t xml:space="preserve"> Johnathan Taylor, Economic Development Program Manager started his presentation</w:t>
      </w:r>
      <w:r w:rsidR="004716AF">
        <w:rPr>
          <w:rFonts w:asciiTheme="minorHAnsi" w:eastAsia="Calibri" w:hAnsiTheme="minorHAnsi" w:cstheme="minorHAnsi"/>
        </w:rPr>
        <w:t xml:space="preserve">. </w:t>
      </w:r>
      <w:r w:rsidRPr="00301219">
        <w:rPr>
          <w:rFonts w:asciiTheme="minorHAnsi" w:eastAsia="Calibri" w:hAnsiTheme="minorHAnsi" w:cstheme="minorHAnsi"/>
        </w:rPr>
        <w:t xml:space="preserve"> </w:t>
      </w:r>
      <w:r w:rsidR="004716AF">
        <w:rPr>
          <w:rFonts w:asciiTheme="minorHAnsi" w:eastAsia="Calibri" w:hAnsiTheme="minorHAnsi" w:cstheme="minorHAnsi"/>
        </w:rPr>
        <w:t xml:space="preserve">Mr. Taylor explained </w:t>
      </w:r>
      <w:r w:rsidR="00010F41">
        <w:rPr>
          <w:rFonts w:asciiTheme="minorHAnsi" w:eastAsia="Calibri" w:hAnsiTheme="minorHAnsi" w:cstheme="minorHAnsi"/>
        </w:rPr>
        <w:t xml:space="preserve">that </w:t>
      </w:r>
      <w:r w:rsidR="004716AF" w:rsidRPr="004716AF">
        <w:rPr>
          <w:rFonts w:asciiTheme="minorHAnsi" w:hAnsiTheme="minorHAnsi" w:cstheme="minorHAnsi"/>
        </w:rPr>
        <w:t>CORA will be an established urban renewal zone focused on funding projects and efforts based on City Council’s eight priorities identified in 2020. Those priorities included: land acquisition, small business assistance, developer assistance, environmental stewardship, transportation, housing, blight remediation</w:t>
      </w:r>
      <w:r w:rsidR="00010F41">
        <w:rPr>
          <w:rFonts w:asciiTheme="minorHAnsi" w:hAnsiTheme="minorHAnsi" w:cstheme="minorHAnsi"/>
        </w:rPr>
        <w:t>,</w:t>
      </w:r>
      <w:r w:rsidR="004716AF" w:rsidRPr="004716AF">
        <w:rPr>
          <w:rFonts w:asciiTheme="minorHAnsi" w:hAnsiTheme="minorHAnsi" w:cstheme="minorHAnsi"/>
        </w:rPr>
        <w:t xml:space="preserve"> and community identity. Staff anticipates an official adoption date of November 2022.</w:t>
      </w:r>
    </w:p>
    <w:p w:rsidR="000B45B9" w:rsidRDefault="000B45B9" w:rsidP="00301219">
      <w:pPr>
        <w:rPr>
          <w:rFonts w:asciiTheme="minorHAnsi" w:hAnsiTheme="minorHAnsi" w:cstheme="minorHAnsi"/>
        </w:rPr>
      </w:pPr>
    </w:p>
    <w:p w:rsidR="000B45B9" w:rsidRDefault="000B45B9" w:rsidP="00301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Mr. Taylor explained</w:t>
      </w:r>
      <w:r w:rsidR="004C311D">
        <w:rPr>
          <w:rFonts w:asciiTheme="minorHAnsi" w:hAnsiTheme="minorHAnsi" w:cstheme="minorHAnsi"/>
        </w:rPr>
        <w:t xml:space="preserve"> over the last three years the City Council has been looking at further things to advance on housing needs, equal opportunity</w:t>
      </w:r>
      <w:r w:rsidR="00010F41">
        <w:rPr>
          <w:rFonts w:asciiTheme="minorHAnsi" w:hAnsiTheme="minorHAnsi" w:cstheme="minorHAnsi"/>
        </w:rPr>
        <w:t>,</w:t>
      </w:r>
      <w:r w:rsidR="004C311D">
        <w:rPr>
          <w:rFonts w:asciiTheme="minorHAnsi" w:hAnsiTheme="minorHAnsi" w:cstheme="minorHAnsi"/>
        </w:rPr>
        <w:t xml:space="preserve"> and traffic needs in the area. He stated prosperity</w:t>
      </w:r>
      <w:r>
        <w:rPr>
          <w:rFonts w:asciiTheme="minorHAnsi" w:hAnsiTheme="minorHAnsi" w:cstheme="minorHAnsi"/>
        </w:rPr>
        <w:t xml:space="preserve"> planning is a multi-year endeavor to securely position our community for long-term economic prosperity. He mentioned the dramatically changing landscape due to the COVID-19 Pandemic has further prioritized these efforts. </w:t>
      </w:r>
    </w:p>
    <w:p w:rsidR="000B45B9" w:rsidRDefault="000B45B9" w:rsidP="00301219">
      <w:pPr>
        <w:rPr>
          <w:rFonts w:asciiTheme="minorHAnsi" w:hAnsiTheme="minorHAnsi" w:cstheme="minorHAnsi"/>
        </w:rPr>
      </w:pPr>
    </w:p>
    <w:p w:rsidR="000B45B9" w:rsidRDefault="000B45B9" w:rsidP="00301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Mr. Taylor </w:t>
      </w:r>
      <w:r w:rsidR="00010F41">
        <w:rPr>
          <w:rFonts w:asciiTheme="minorHAnsi" w:hAnsiTheme="minorHAnsi" w:cstheme="minorHAnsi"/>
        </w:rPr>
        <w:t>spoke about</w:t>
      </w:r>
      <w:r w:rsidR="004C311D">
        <w:rPr>
          <w:rFonts w:asciiTheme="minorHAnsi" w:hAnsiTheme="minorHAnsi" w:cstheme="minorHAnsi"/>
        </w:rPr>
        <w:t xml:space="preserve"> the continued growth it presents continued challenges</w:t>
      </w:r>
      <w:r w:rsidR="00010F41">
        <w:rPr>
          <w:rFonts w:asciiTheme="minorHAnsi" w:hAnsiTheme="minorHAnsi" w:cstheme="minorHAnsi"/>
        </w:rPr>
        <w:t xml:space="preserve"> within the community</w:t>
      </w:r>
      <w:r w:rsidR="004C311D">
        <w:rPr>
          <w:rFonts w:asciiTheme="minorHAnsi" w:hAnsiTheme="minorHAnsi" w:cstheme="minorHAnsi"/>
        </w:rPr>
        <w:t xml:space="preserve">. He explained </w:t>
      </w:r>
      <w:r>
        <w:rPr>
          <w:rFonts w:asciiTheme="minorHAnsi" w:hAnsiTheme="minorHAnsi" w:cstheme="minorHAnsi"/>
        </w:rPr>
        <w:t>the need</w:t>
      </w:r>
      <w:r w:rsidR="00010F41">
        <w:rPr>
          <w:rFonts w:asciiTheme="minorHAnsi" w:hAnsiTheme="minorHAnsi" w:cstheme="minorHAnsi"/>
        </w:rPr>
        <w:t xml:space="preserve"> for development with</w:t>
      </w:r>
      <w:r>
        <w:rPr>
          <w:rFonts w:asciiTheme="minorHAnsi" w:hAnsiTheme="minorHAnsi" w:cstheme="minorHAnsi"/>
        </w:rPr>
        <w:t xml:space="preserve"> the community growth, </w:t>
      </w:r>
      <w:r w:rsidR="00010F41">
        <w:rPr>
          <w:rFonts w:asciiTheme="minorHAnsi" w:hAnsiTheme="minorHAnsi" w:cstheme="minorHAnsi"/>
        </w:rPr>
        <w:t xml:space="preserve">which </w:t>
      </w:r>
      <w:r>
        <w:rPr>
          <w:rFonts w:asciiTheme="minorHAnsi" w:hAnsiTheme="minorHAnsi" w:cstheme="minorHAnsi"/>
        </w:rPr>
        <w:t>present</w:t>
      </w:r>
      <w:r w:rsidR="00010F41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 xml:space="preserve">challenges for long-term community prosperity. The availability of developable land and transportation infrastructure is limited or severely restricted. In addition, the transition to </w:t>
      </w:r>
      <w:r>
        <w:rPr>
          <w:rFonts w:asciiTheme="minorHAnsi" w:hAnsiTheme="minorHAnsi" w:cstheme="minorHAnsi"/>
        </w:rPr>
        <w:lastRenderedPageBreak/>
        <w:t xml:space="preserve">electronic commerce and current supply chain issues will present opportunities and challenges. </w:t>
      </w:r>
    </w:p>
    <w:p w:rsidR="004716AF" w:rsidRDefault="004716AF" w:rsidP="00301219">
      <w:pPr>
        <w:rPr>
          <w:rFonts w:asciiTheme="minorHAnsi" w:hAnsiTheme="minorHAnsi" w:cstheme="minorHAnsi"/>
        </w:rPr>
      </w:pPr>
    </w:p>
    <w:p w:rsidR="000B45B9" w:rsidRDefault="000B45B9" w:rsidP="00301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Mr. Taylor spoke about the purpose to utilize a variety of financing tools to meet the community needs in alignment with broader community vision. He shared timeline background from f</w:t>
      </w:r>
      <w:r w:rsidR="009F2426">
        <w:rPr>
          <w:rFonts w:asciiTheme="minorHAnsi" w:hAnsiTheme="minorHAnsi" w:cstheme="minorHAnsi"/>
        </w:rPr>
        <w:t xml:space="preserve">oundation. </w:t>
      </w:r>
      <w:r w:rsidR="0046788A">
        <w:rPr>
          <w:rFonts w:asciiTheme="minorHAnsi" w:hAnsiTheme="minorHAnsi" w:cstheme="minorHAnsi"/>
        </w:rPr>
        <w:t xml:space="preserve">He spoke about prior strategic work done in the city. </w:t>
      </w:r>
    </w:p>
    <w:p w:rsidR="0046788A" w:rsidRDefault="0046788A" w:rsidP="00301219">
      <w:pPr>
        <w:rPr>
          <w:rFonts w:asciiTheme="minorHAnsi" w:hAnsiTheme="minorHAnsi" w:cstheme="minorHAnsi"/>
        </w:rPr>
      </w:pPr>
    </w:p>
    <w:p w:rsidR="0046788A" w:rsidRDefault="0046788A" w:rsidP="00301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Mr. Taylor </w:t>
      </w:r>
      <w:r w:rsidR="00561C4D">
        <w:rPr>
          <w:rFonts w:asciiTheme="minorHAnsi" w:hAnsiTheme="minorHAnsi" w:cstheme="minorHAnsi"/>
        </w:rPr>
        <w:t>let the commissioners know</w:t>
      </w:r>
      <w:r w:rsidR="00010F41">
        <w:rPr>
          <w:rFonts w:asciiTheme="minorHAnsi" w:hAnsiTheme="minorHAnsi" w:cstheme="minorHAnsi"/>
        </w:rPr>
        <w:t xml:space="preserve"> the proposed vision statement: “</w:t>
      </w:r>
      <w:r>
        <w:rPr>
          <w:rFonts w:asciiTheme="minorHAnsi" w:hAnsiTheme="minorHAnsi" w:cstheme="minorHAnsi"/>
        </w:rPr>
        <w:t xml:space="preserve">The Core Opportunity and Reinvestment Area Plan will be a guiding document in our community’s efforts to establish and fund </w:t>
      </w:r>
      <w:r w:rsidR="00EC1185">
        <w:rPr>
          <w:rFonts w:asciiTheme="minorHAnsi" w:hAnsiTheme="minorHAnsi" w:cstheme="minorHAnsi"/>
        </w:rPr>
        <w:t>projects</w:t>
      </w:r>
      <w:r>
        <w:rPr>
          <w:rFonts w:asciiTheme="minorHAnsi" w:hAnsiTheme="minorHAnsi" w:cstheme="minorHAnsi"/>
        </w:rPr>
        <w:t xml:space="preserve"> to creat</w:t>
      </w:r>
      <w:r w:rsidR="00EC118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an active civic core; redevelop areas with vibrant high-quality mixed-use developments offering a variety of additional residential dwelling and retail options; increase </w:t>
      </w:r>
      <w:r w:rsidR="00EC1185">
        <w:rPr>
          <w:rFonts w:asciiTheme="minorHAnsi" w:hAnsiTheme="minorHAnsi" w:cstheme="minorHAnsi"/>
        </w:rPr>
        <w:t>opportunities</w:t>
      </w:r>
      <w:r>
        <w:rPr>
          <w:rFonts w:asciiTheme="minorHAnsi" w:hAnsiTheme="minorHAnsi" w:cstheme="minorHAnsi"/>
        </w:rPr>
        <w:t xml:space="preserve"> for living wage professional and creative employment; promote and develop recreational and cultural facilities, and </w:t>
      </w:r>
      <w:r w:rsidR="00EC1185">
        <w:rPr>
          <w:rFonts w:asciiTheme="minorHAnsi" w:hAnsiTheme="minorHAnsi" w:cstheme="minorHAnsi"/>
        </w:rPr>
        <w:t>integrate</w:t>
      </w:r>
      <w:r>
        <w:rPr>
          <w:rFonts w:asciiTheme="minorHAnsi" w:hAnsiTheme="minorHAnsi" w:cstheme="minorHAnsi"/>
        </w:rPr>
        <w:t xml:space="preserve"> all efforts into the natural landscape wit</w:t>
      </w:r>
      <w:r w:rsidR="00EC1185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 environmental stewardship.</w:t>
      </w:r>
      <w:r w:rsidR="00010F41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</w:p>
    <w:p w:rsidR="000E6B0D" w:rsidRDefault="000E6B0D" w:rsidP="00301219">
      <w:pPr>
        <w:rPr>
          <w:rFonts w:asciiTheme="minorHAnsi" w:hAnsiTheme="minorHAnsi" w:cstheme="minorHAnsi"/>
        </w:rPr>
      </w:pPr>
    </w:p>
    <w:p w:rsidR="00AE3C78" w:rsidRDefault="000972F3" w:rsidP="00301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Mr. Taylor shared </w:t>
      </w:r>
      <w:r w:rsidR="00AE3C78">
        <w:rPr>
          <w:rFonts w:asciiTheme="minorHAnsi" w:hAnsiTheme="minorHAnsi" w:cstheme="minorHAnsi"/>
        </w:rPr>
        <w:t xml:space="preserve">the community involvement and City Council </w:t>
      </w:r>
      <w:r w:rsidR="00D97203">
        <w:rPr>
          <w:rFonts w:asciiTheme="minorHAnsi" w:hAnsiTheme="minorHAnsi" w:cstheme="minorHAnsi"/>
        </w:rPr>
        <w:t xml:space="preserve">came up </w:t>
      </w:r>
      <w:r w:rsidR="00AE3C78">
        <w:rPr>
          <w:rFonts w:asciiTheme="minorHAnsi" w:hAnsiTheme="minorHAnsi" w:cstheme="minorHAnsi"/>
        </w:rPr>
        <w:t xml:space="preserve">with top 6 values: </w:t>
      </w:r>
    </w:p>
    <w:p w:rsidR="000E6B0D" w:rsidRDefault="000972F3" w:rsidP="00301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More Housing, Leave No Existing Business Behind, Enhance Connectivity, Foster, </w:t>
      </w:r>
      <w:r w:rsidR="00AE3C78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reate, </w:t>
      </w:r>
      <w:r w:rsidR="00AE3C7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nhance and </w:t>
      </w:r>
      <w:r w:rsidR="00AE3C78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romote </w:t>
      </w:r>
      <w:r w:rsidR="00AE3C7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dentity, Maintain and grow existing employment lands, and Economic </w:t>
      </w:r>
      <w:r w:rsidR="00AE3C78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rosperity for all.  He stated the priorities that are usually funded by urban renewal of the following: Small Business Assistance, Land Acquisition, Housing, Developer Assistance, Community Identity, Environmental Stewardship, Blight Remediation, and Transportation. </w:t>
      </w:r>
    </w:p>
    <w:p w:rsidR="0046788A" w:rsidRDefault="0046788A" w:rsidP="00301219">
      <w:pPr>
        <w:rPr>
          <w:rFonts w:asciiTheme="minorHAnsi" w:hAnsiTheme="minorHAnsi" w:cstheme="minorHAnsi"/>
        </w:rPr>
      </w:pPr>
    </w:p>
    <w:p w:rsidR="0046788A" w:rsidRDefault="000972F3" w:rsidP="00301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Mr. Taylor showed a map of</w:t>
      </w:r>
      <w:r w:rsidR="00AE3C78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proposed area to establish</w:t>
      </w:r>
      <w:r w:rsidR="00AE3C78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opportunity study area. He explained the map includes: Bridgeport, </w:t>
      </w:r>
      <w:r w:rsidR="001441CB">
        <w:rPr>
          <w:rFonts w:asciiTheme="minorHAnsi" w:hAnsiTheme="minorHAnsi" w:cstheme="minorHAnsi"/>
        </w:rPr>
        <w:t>FedEx</w:t>
      </w:r>
      <w:r>
        <w:rPr>
          <w:rFonts w:asciiTheme="minorHAnsi" w:hAnsiTheme="minorHAnsi" w:cstheme="minorHAnsi"/>
        </w:rPr>
        <w:t xml:space="preserve"> and light industrial area, industrial warehouse adjacent from wetlands, </w:t>
      </w:r>
      <w:r w:rsidR="001441CB">
        <w:rPr>
          <w:rFonts w:asciiTheme="minorHAnsi" w:hAnsiTheme="minorHAnsi" w:cstheme="minorHAnsi"/>
        </w:rPr>
        <w:t xml:space="preserve">historic downtown, and Hagen’s vacant store front. He explained why they chose this area for urban renewal and plan effort priorities. </w:t>
      </w:r>
    </w:p>
    <w:p w:rsidR="004716AF" w:rsidRPr="00301219" w:rsidRDefault="004716AF" w:rsidP="00301219">
      <w:pPr>
        <w:rPr>
          <w:rFonts w:asciiTheme="minorHAnsi" w:eastAsia="Calibri" w:hAnsiTheme="minorHAnsi" w:cstheme="minorHAnsi"/>
        </w:rPr>
      </w:pPr>
    </w:p>
    <w:p w:rsidR="002710E8" w:rsidRDefault="00F41550" w:rsidP="002710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Mr. Taylor went </w:t>
      </w:r>
      <w:r w:rsidR="00AE3C78">
        <w:rPr>
          <w:rFonts w:ascii="Calibri" w:eastAsia="Calibri" w:hAnsi="Calibri" w:cs="Calibri"/>
        </w:rPr>
        <w:t xml:space="preserve">through the proposed </w:t>
      </w:r>
      <w:proofErr w:type="gramStart"/>
      <w:r w:rsidR="00AE3C78">
        <w:rPr>
          <w:rFonts w:ascii="Calibri" w:eastAsia="Calibri" w:hAnsi="Calibri" w:cs="Calibri"/>
        </w:rPr>
        <w:t xml:space="preserve">plan </w:t>
      </w:r>
      <w:r>
        <w:rPr>
          <w:rFonts w:ascii="Calibri" w:eastAsia="Calibri" w:hAnsi="Calibri" w:cs="Calibri"/>
        </w:rPr>
        <w:t xml:space="preserve"> timeline</w:t>
      </w:r>
      <w:proofErr w:type="gramEnd"/>
      <w:r>
        <w:rPr>
          <w:rFonts w:ascii="Calibri" w:eastAsia="Calibri" w:hAnsi="Calibri" w:cs="Calibri"/>
        </w:rPr>
        <w:t xml:space="preserve"> of adoption. He stated</w:t>
      </w:r>
      <w:r w:rsidR="00B500B8">
        <w:rPr>
          <w:rFonts w:ascii="Calibri" w:eastAsia="Calibri" w:hAnsi="Calibri" w:cs="Calibri"/>
        </w:rPr>
        <w:t xml:space="preserve"> this past</w:t>
      </w:r>
      <w:r>
        <w:rPr>
          <w:rFonts w:ascii="Calibri" w:eastAsia="Calibri" w:hAnsi="Calibri" w:cs="Calibri"/>
        </w:rPr>
        <w:t xml:space="preserve"> January through April had internal discussions of boundary determination and finical impact analysis with consultants. </w:t>
      </w:r>
    </w:p>
    <w:p w:rsidR="002710E8" w:rsidRDefault="002710E8" w:rsidP="002710E8">
      <w:pPr>
        <w:rPr>
          <w:rFonts w:ascii="Calibri" w:eastAsia="Calibri" w:hAnsi="Calibri" w:cs="Calibri"/>
          <w:b/>
          <w:u w:val="single"/>
        </w:rPr>
      </w:pPr>
    </w:p>
    <w:p w:rsidR="002710E8" w:rsidRDefault="007E46C9" w:rsidP="002710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 Beers gave the Planning Commission opportunity to ask questions.  </w:t>
      </w:r>
    </w:p>
    <w:p w:rsidR="007E46C9" w:rsidRDefault="007E46C9" w:rsidP="002710E8">
      <w:pPr>
        <w:rPr>
          <w:rFonts w:ascii="Calibri" w:eastAsia="Calibri" w:hAnsi="Calibri" w:cs="Calibri"/>
          <w:b/>
          <w:u w:val="single"/>
        </w:rPr>
      </w:pPr>
    </w:p>
    <w:p w:rsidR="002710E8" w:rsidRDefault="002710E8" w:rsidP="002710E8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ADJOURNMENT</w:t>
      </w:r>
    </w:p>
    <w:p w:rsidR="007E46C9" w:rsidRDefault="007E46C9" w:rsidP="002710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motion to adjourn was made by </w:t>
      </w:r>
      <w:r w:rsidR="00C2471A">
        <w:rPr>
          <w:rFonts w:ascii="Calibri" w:eastAsia="Calibri" w:hAnsi="Calibri" w:cs="Calibri"/>
        </w:rPr>
        <w:t xml:space="preserve">Commissioner </w:t>
      </w:r>
      <w:r w:rsidR="00C2471A" w:rsidRPr="00370D32">
        <w:rPr>
          <w:rFonts w:asciiTheme="minorHAnsi" w:hAnsiTheme="minorHAnsi" w:cstheme="minorHAnsi"/>
          <w:bCs/>
        </w:rPr>
        <w:t>Hledik</w:t>
      </w:r>
      <w:r w:rsidR="00C2471A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The motion was seconded by </w:t>
      </w:r>
      <w:r w:rsidR="00C2471A">
        <w:rPr>
          <w:rFonts w:ascii="Calibri" w:eastAsia="Calibri" w:hAnsi="Calibri" w:cs="Calibri"/>
        </w:rPr>
        <w:t xml:space="preserve">Chair Beers. </w:t>
      </w:r>
    </w:p>
    <w:p w:rsidR="007E46C9" w:rsidRDefault="00C2471A" w:rsidP="002710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 </w:t>
      </w:r>
      <w:r w:rsidR="007E46C9">
        <w:rPr>
          <w:rFonts w:ascii="Calibri" w:eastAsia="Calibri" w:hAnsi="Calibri" w:cs="Calibri"/>
        </w:rPr>
        <w:t>AYE</w:t>
      </w:r>
    </w:p>
    <w:p w:rsidR="007E46C9" w:rsidRDefault="00C2471A" w:rsidP="002710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0 </w:t>
      </w:r>
      <w:r w:rsidR="007E46C9">
        <w:rPr>
          <w:rFonts w:ascii="Calibri" w:eastAsia="Calibri" w:hAnsi="Calibri" w:cs="Calibri"/>
        </w:rPr>
        <w:t>NAY</w:t>
      </w:r>
    </w:p>
    <w:p w:rsidR="007E46C9" w:rsidRDefault="007E46C9" w:rsidP="002710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PASSED UNA</w:t>
      </w:r>
      <w:r w:rsidR="003A339D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 xml:space="preserve">IMOUSLY.  The Planning Commission meeting was adjourned at 7:30 p.m. </w:t>
      </w:r>
    </w:p>
    <w:p w:rsidR="002710E8" w:rsidRDefault="002710E8" w:rsidP="002710E8"/>
    <w:p w:rsidR="0094591D" w:rsidRDefault="0094591D"/>
    <w:sectPr w:rsidR="00945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C8" w:rsidRDefault="001317C8" w:rsidP="001317C8">
      <w:r>
        <w:separator/>
      </w:r>
    </w:p>
  </w:endnote>
  <w:endnote w:type="continuationSeparator" w:id="0">
    <w:p w:rsidR="001317C8" w:rsidRDefault="001317C8" w:rsidP="0013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C8" w:rsidRDefault="001317C8" w:rsidP="001317C8">
      <w:r>
        <w:separator/>
      </w:r>
    </w:p>
  </w:footnote>
  <w:footnote w:type="continuationSeparator" w:id="0">
    <w:p w:rsidR="001317C8" w:rsidRDefault="001317C8" w:rsidP="0013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7C8" w:rsidRDefault="00382674">
    <w:pPr>
      <w:pStyle w:val="Header"/>
    </w:pPr>
    <w:sdt>
      <w:sdtPr>
        <w:id w:val="-34016791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317C8">
      <w:tab/>
    </w:r>
    <w:r w:rsidR="001317C8">
      <w:tab/>
      <w:t xml:space="preserve">OFFICAL </w:t>
    </w:r>
  </w:p>
  <w:p w:rsidR="001317C8" w:rsidRDefault="00131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D0085"/>
    <w:multiLevelType w:val="hybridMultilevel"/>
    <w:tmpl w:val="70E2E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xN7Y0NTczMAExlXSUglOLizPz80AKLGoBjeQZjSwAAAA="/>
  </w:docVars>
  <w:rsids>
    <w:rsidRoot w:val="002710E8"/>
    <w:rsid w:val="00010F41"/>
    <w:rsid w:val="00024404"/>
    <w:rsid w:val="000972F3"/>
    <w:rsid w:val="000B45B9"/>
    <w:rsid w:val="000E6B0D"/>
    <w:rsid w:val="001317C8"/>
    <w:rsid w:val="001441CB"/>
    <w:rsid w:val="002710E8"/>
    <w:rsid w:val="002940C1"/>
    <w:rsid w:val="002D4475"/>
    <w:rsid w:val="00301219"/>
    <w:rsid w:val="0034599F"/>
    <w:rsid w:val="00382674"/>
    <w:rsid w:val="003A339D"/>
    <w:rsid w:val="00401B62"/>
    <w:rsid w:val="0046788A"/>
    <w:rsid w:val="004716AF"/>
    <w:rsid w:val="004C311D"/>
    <w:rsid w:val="00561C4D"/>
    <w:rsid w:val="0075314E"/>
    <w:rsid w:val="007E46C9"/>
    <w:rsid w:val="007F77FA"/>
    <w:rsid w:val="008B6F55"/>
    <w:rsid w:val="0094591D"/>
    <w:rsid w:val="009B28B6"/>
    <w:rsid w:val="009F2426"/>
    <w:rsid w:val="00AE3C78"/>
    <w:rsid w:val="00B500B8"/>
    <w:rsid w:val="00C12E46"/>
    <w:rsid w:val="00C2471A"/>
    <w:rsid w:val="00CD5C73"/>
    <w:rsid w:val="00D700CF"/>
    <w:rsid w:val="00D97203"/>
    <w:rsid w:val="00E74C89"/>
    <w:rsid w:val="00EC1185"/>
    <w:rsid w:val="00F4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0CB46A"/>
  <w15:chartTrackingRefBased/>
  <w15:docId w15:val="{A219B5C6-0E7C-4646-8787-0C9E246F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0E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Letter Gothic" w:eastAsia="Times New Roman" w:hAnsi="Letter Gothic" w:cs="Letter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0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0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710E8"/>
    <w:pPr>
      <w:widowControl w:val="0"/>
      <w:spacing w:after="0" w:line="240" w:lineRule="auto"/>
    </w:pPr>
    <w:rPr>
      <w:rFonts w:ascii="Letter Gothic" w:eastAsia="Letter Gothic" w:hAnsi="Letter Gothic" w:cs="Letter Gothic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7C8"/>
    <w:rPr>
      <w:rFonts w:ascii="Letter Gothic" w:eastAsia="Times New Roman" w:hAnsi="Letter Gothic" w:cs="Letter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1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7C8"/>
    <w:rPr>
      <w:rFonts w:ascii="Letter Gothic" w:eastAsia="Times New Roman" w:hAnsi="Letter Gothic" w:cs="Letter Gothi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Tualatin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Hagerman</dc:creator>
  <cp:keywords/>
  <dc:description/>
  <cp:lastModifiedBy>Lindsey Hagerman</cp:lastModifiedBy>
  <cp:revision>26</cp:revision>
  <dcterms:created xsi:type="dcterms:W3CDTF">2022-05-19T22:45:00Z</dcterms:created>
  <dcterms:modified xsi:type="dcterms:W3CDTF">2024-06-20T16:32:00Z</dcterms:modified>
</cp:coreProperties>
</file>